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D1" w:rsidRDefault="00405BD1" w:rsidP="00405BD1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T.C.</w:t>
      </w:r>
    </w:p>
    <w:p w:rsidR="00405BD1" w:rsidRDefault="00BA574B" w:rsidP="00405BD1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DİCLE</w:t>
      </w:r>
      <w:r w:rsidR="00405BD1">
        <w:rPr>
          <w:b/>
          <w:sz w:val="24"/>
          <w:szCs w:val="24"/>
        </w:rPr>
        <w:t xml:space="preserve"> KAYMAKAMLIĞI</w:t>
      </w:r>
    </w:p>
    <w:p w:rsidR="00405BD1" w:rsidRDefault="00BA574B" w:rsidP="00405BD1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Şehit Bilal Dicle Anadolu İmam Hatip Lisesi</w:t>
      </w:r>
      <w:r w:rsidR="00405BD1">
        <w:rPr>
          <w:b/>
          <w:sz w:val="24"/>
          <w:szCs w:val="24"/>
        </w:rPr>
        <w:t xml:space="preserve"> Müdürlüğü</w:t>
      </w:r>
    </w:p>
    <w:p w:rsidR="00405BD1" w:rsidRDefault="00405BD1" w:rsidP="00405BD1">
      <w:pPr>
        <w:spacing w:line="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</w:p>
    <w:p w:rsidR="00405BD1" w:rsidRDefault="00BA574B" w:rsidP="00405BD1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8C6E86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-</w:t>
      </w:r>
      <w:proofErr w:type="gramStart"/>
      <w:r>
        <w:rPr>
          <w:b/>
          <w:bCs/>
          <w:sz w:val="24"/>
          <w:szCs w:val="24"/>
        </w:rPr>
        <w:t>202</w:t>
      </w:r>
      <w:r w:rsidR="008C6E86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 w:rsidR="00794339">
        <w:rPr>
          <w:b/>
          <w:bCs/>
          <w:sz w:val="24"/>
          <w:szCs w:val="24"/>
        </w:rPr>
        <w:t xml:space="preserve"> EĞİTİM</w:t>
      </w:r>
      <w:proofErr w:type="gramEnd"/>
      <w:r w:rsidR="00794339">
        <w:rPr>
          <w:b/>
          <w:bCs/>
          <w:sz w:val="24"/>
          <w:szCs w:val="24"/>
        </w:rPr>
        <w:t xml:space="preserve"> ÖĞRETİM YILI 1</w:t>
      </w:r>
      <w:r w:rsidR="00405BD1">
        <w:rPr>
          <w:b/>
          <w:bCs/>
          <w:sz w:val="24"/>
          <w:szCs w:val="24"/>
        </w:rPr>
        <w:t xml:space="preserve"> KALEM </w:t>
      </w:r>
      <w:r w:rsidR="00794339">
        <w:rPr>
          <w:b/>
          <w:bCs/>
          <w:sz w:val="24"/>
          <w:szCs w:val="24"/>
        </w:rPr>
        <w:t>SANAYİ TİPİ 45 KG’LIK PROPAN TÜP</w:t>
      </w:r>
      <w:r w:rsidR="00405BD1">
        <w:rPr>
          <w:b/>
          <w:bCs/>
          <w:sz w:val="24"/>
          <w:szCs w:val="24"/>
        </w:rPr>
        <w:t xml:space="preserve"> ALIMI</w:t>
      </w:r>
      <w:r w:rsidR="00405BD1">
        <w:rPr>
          <w:b/>
          <w:sz w:val="24"/>
          <w:szCs w:val="24"/>
        </w:rPr>
        <w:t xml:space="preserve"> İHALESİ TEKNİK ŞARTNAMESİ</w:t>
      </w:r>
    </w:p>
    <w:p w:rsidR="00405BD1" w:rsidRDefault="00405BD1" w:rsidP="00405BD1">
      <w:pPr>
        <w:spacing w:line="0" w:lineRule="atLeast"/>
        <w:jc w:val="center"/>
        <w:rPr>
          <w:sz w:val="24"/>
          <w:szCs w:val="24"/>
        </w:rPr>
      </w:pPr>
    </w:p>
    <w:p w:rsidR="00405BD1" w:rsidRDefault="00405BD1" w:rsidP="00405BD1">
      <w:pPr>
        <w:spacing w:line="0" w:lineRule="atLeas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KAPSAM:</w:t>
      </w:r>
    </w:p>
    <w:p w:rsidR="00405BD1" w:rsidRDefault="00BA574B" w:rsidP="00405BD1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Şehit Bilal Dicle Anadolu İmam Hatip Lisesi</w:t>
      </w:r>
      <w:r w:rsidR="00405BD1">
        <w:rPr>
          <w:sz w:val="24"/>
          <w:szCs w:val="24"/>
        </w:rPr>
        <w:t xml:space="preserve"> Pansiyonu’nda kalan öğrencilerin yemek ihtiyaçlarının hazırlanmasında kullanılmak üzere yurt içinden satın alınacak, (1) kalem sanayi tipi </w:t>
      </w:r>
      <w:r w:rsidR="00D52825">
        <w:rPr>
          <w:sz w:val="24"/>
          <w:szCs w:val="24"/>
        </w:rPr>
        <w:t xml:space="preserve">45 kg’lık </w:t>
      </w:r>
      <w:r w:rsidR="00405BD1">
        <w:rPr>
          <w:sz w:val="24"/>
          <w:szCs w:val="24"/>
        </w:rPr>
        <w:t>propan tüp olarak adlandırılan malların özellikleri ile muayene metotları ve diğer hususları kapsar.</w:t>
      </w:r>
    </w:p>
    <w:p w:rsidR="00405BD1" w:rsidRDefault="00405BD1" w:rsidP="00405BD1">
      <w:pPr>
        <w:pStyle w:val="GvdeMetni"/>
        <w:spacing w:line="0" w:lineRule="atLeast"/>
        <w:rPr>
          <w:b/>
          <w:szCs w:val="24"/>
          <w:u w:val="single"/>
        </w:rPr>
      </w:pPr>
      <w:r>
        <w:rPr>
          <w:b/>
          <w:szCs w:val="24"/>
          <w:u w:val="single"/>
        </w:rPr>
        <w:t>TANIMLAR</w:t>
      </w:r>
      <w:r>
        <w:rPr>
          <w:b/>
          <w:szCs w:val="24"/>
          <w:u w:val="single"/>
        </w:rPr>
        <w:tab/>
        <w:t>:</w:t>
      </w:r>
    </w:p>
    <w:p w:rsidR="00405BD1" w:rsidRDefault="00405BD1" w:rsidP="00405BD1">
      <w:pPr>
        <w:spacing w:line="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1-</w:t>
      </w:r>
      <w:r>
        <w:rPr>
          <w:sz w:val="24"/>
          <w:szCs w:val="24"/>
        </w:rPr>
        <w:t xml:space="preserve"> Bu şartnamenin sonraki maddelerinde </w:t>
      </w:r>
      <w:r w:rsidR="008C6E86">
        <w:rPr>
          <w:sz w:val="24"/>
          <w:szCs w:val="24"/>
        </w:rPr>
        <w:t>Şehit Bilal Dicle Anadolu İmam Hatip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Lisesi Müdürlüğü’nden “</w:t>
      </w:r>
      <w:r>
        <w:rPr>
          <w:b/>
          <w:bCs/>
          <w:sz w:val="24"/>
          <w:szCs w:val="24"/>
        </w:rPr>
        <w:t>İDARE</w:t>
      </w:r>
      <w:r>
        <w:rPr>
          <w:sz w:val="24"/>
          <w:szCs w:val="24"/>
        </w:rPr>
        <w:t>”, üzerine ihale yapılan kişi veya firmadan “</w:t>
      </w:r>
      <w:r>
        <w:rPr>
          <w:b/>
          <w:bCs/>
          <w:sz w:val="24"/>
          <w:szCs w:val="24"/>
        </w:rPr>
        <w:t>YÜKLENİCİ</w:t>
      </w:r>
      <w:r>
        <w:rPr>
          <w:sz w:val="24"/>
          <w:szCs w:val="24"/>
        </w:rPr>
        <w:t>” olarak bahsedilecektir.</w:t>
      </w:r>
    </w:p>
    <w:p w:rsidR="00405BD1" w:rsidRDefault="00405BD1" w:rsidP="00405BD1">
      <w:pPr>
        <w:overflowPunct/>
        <w:autoSpaceDE/>
        <w:adjustRightInd/>
        <w:spacing w:line="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2-</w:t>
      </w:r>
      <w:r>
        <w:rPr>
          <w:sz w:val="24"/>
          <w:szCs w:val="24"/>
        </w:rPr>
        <w:t xml:space="preserve"> Satın alınacak olan (1) kalem sanayi tipi </w:t>
      </w:r>
      <w:r w:rsidR="00D52825">
        <w:rPr>
          <w:sz w:val="24"/>
          <w:szCs w:val="24"/>
        </w:rPr>
        <w:t xml:space="preserve">45 </w:t>
      </w:r>
      <w:proofErr w:type="spellStart"/>
      <w:r w:rsidR="00D52825">
        <w:rPr>
          <w:sz w:val="24"/>
          <w:szCs w:val="24"/>
        </w:rPr>
        <w:t>kg.’lık</w:t>
      </w:r>
      <w:proofErr w:type="spellEnd"/>
      <w:r w:rsidR="00D5282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propan</w:t>
      </w:r>
      <w:proofErr w:type="spellEnd"/>
      <w:r>
        <w:rPr>
          <w:sz w:val="24"/>
          <w:szCs w:val="24"/>
        </w:rPr>
        <w:t xml:space="preserve"> tüp bu şartnamede </w:t>
      </w:r>
      <w:r>
        <w:rPr>
          <w:b/>
          <w:sz w:val="24"/>
          <w:szCs w:val="24"/>
        </w:rPr>
        <w:t>“MAL”</w:t>
      </w:r>
      <w:r>
        <w:rPr>
          <w:sz w:val="24"/>
          <w:szCs w:val="24"/>
        </w:rPr>
        <w:t xml:space="preserve"> olarak ifade edilecektir.  </w:t>
      </w:r>
    </w:p>
    <w:p w:rsidR="00405BD1" w:rsidRDefault="00405BD1" w:rsidP="00405BD1">
      <w:pPr>
        <w:overflowPunct/>
        <w:autoSpaceDE/>
        <w:adjustRightInd/>
        <w:spacing w:line="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3-</w:t>
      </w:r>
      <w:r>
        <w:rPr>
          <w:sz w:val="24"/>
          <w:szCs w:val="24"/>
        </w:rPr>
        <w:t xml:space="preserve"> Bu şartnamede konu edilen malın birimi ihale dokümanında belirtildiği şekilde olacaktır.</w:t>
      </w:r>
    </w:p>
    <w:p w:rsidR="000D4012" w:rsidRDefault="000D4012"/>
    <w:p w:rsidR="000D4012" w:rsidRPr="00334F1D" w:rsidRDefault="000D4012">
      <w:pPr>
        <w:rPr>
          <w:b/>
          <w:sz w:val="24"/>
        </w:rPr>
      </w:pPr>
      <w:r w:rsidRPr="00334F1D">
        <w:rPr>
          <w:b/>
          <w:sz w:val="24"/>
        </w:rPr>
        <w:t>GENEL HÜKÜMLER:</w:t>
      </w:r>
    </w:p>
    <w:p w:rsidR="000D4012" w:rsidRPr="00334F1D" w:rsidRDefault="000D4012">
      <w:pPr>
        <w:rPr>
          <w:sz w:val="24"/>
        </w:rPr>
      </w:pPr>
    </w:p>
    <w:p w:rsidR="000D4012" w:rsidRPr="00334F1D" w:rsidRDefault="000D4012" w:rsidP="000D4012">
      <w:pPr>
        <w:pStyle w:val="ListeParagraf"/>
        <w:numPr>
          <w:ilvl w:val="0"/>
          <w:numId w:val="1"/>
        </w:numPr>
        <w:rPr>
          <w:sz w:val="24"/>
        </w:rPr>
      </w:pPr>
      <w:r w:rsidRPr="00334F1D">
        <w:rPr>
          <w:sz w:val="24"/>
        </w:rPr>
        <w:t>Her bir tüpün içeriği 45 kg.  %100 propan gazdan müteşekkil olacaktır.</w:t>
      </w:r>
    </w:p>
    <w:p w:rsidR="000D4012" w:rsidRPr="00334F1D" w:rsidRDefault="000D4012" w:rsidP="000D4012">
      <w:pPr>
        <w:pStyle w:val="ListeParagraf"/>
        <w:numPr>
          <w:ilvl w:val="0"/>
          <w:numId w:val="1"/>
        </w:numPr>
        <w:rPr>
          <w:sz w:val="24"/>
        </w:rPr>
      </w:pPr>
      <w:r w:rsidRPr="00334F1D">
        <w:rPr>
          <w:sz w:val="24"/>
        </w:rPr>
        <w:t xml:space="preserve">Tüplerin tam dolu olduğunu, kaçak kontrol testlerinden geçtiğini gösteren </w:t>
      </w:r>
      <w:r w:rsidR="00334F1D" w:rsidRPr="00334F1D">
        <w:rPr>
          <w:sz w:val="24"/>
        </w:rPr>
        <w:t>“</w:t>
      </w:r>
      <w:r w:rsidR="00334F1D">
        <w:rPr>
          <w:sz w:val="24"/>
        </w:rPr>
        <w:t xml:space="preserve"> Tam Emniyet Bandı</w:t>
      </w:r>
      <w:r w:rsidR="00334F1D" w:rsidRPr="00334F1D">
        <w:rPr>
          <w:sz w:val="24"/>
        </w:rPr>
        <w:t>” ile birlikte teslim edilmelidir. Tam emniyet bandı olmayan tüpler teslim alınmayacaktır. Alınacak tüm tüpler uluslararası kalite standardı ISO 9001 sahibi firmalar tarafından üretilmiş olmalıdır.</w:t>
      </w:r>
    </w:p>
    <w:p w:rsidR="00334F1D" w:rsidRPr="00334F1D" w:rsidRDefault="00334F1D" w:rsidP="000D4012">
      <w:pPr>
        <w:pStyle w:val="ListeParagraf"/>
        <w:numPr>
          <w:ilvl w:val="0"/>
          <w:numId w:val="1"/>
        </w:numPr>
        <w:rPr>
          <w:sz w:val="24"/>
        </w:rPr>
      </w:pPr>
      <w:r w:rsidRPr="00334F1D">
        <w:rPr>
          <w:sz w:val="24"/>
        </w:rPr>
        <w:t>Tüm tüpler TS 55 EN 1442 standartlarına uygun üretilmiş olmalı ve tüplerin üzerinde tüplerin Türk standartlarına uygun olarak üretildiğini belirten TS 55 EN 1442 TSE işareti olmalıdır.</w:t>
      </w:r>
      <w:r>
        <w:rPr>
          <w:sz w:val="24"/>
        </w:rPr>
        <w:t xml:space="preserve"> </w:t>
      </w:r>
    </w:p>
    <w:p w:rsidR="00334F1D" w:rsidRDefault="00334F1D" w:rsidP="000D4012">
      <w:pPr>
        <w:pStyle w:val="ListeParagraf"/>
        <w:numPr>
          <w:ilvl w:val="0"/>
          <w:numId w:val="1"/>
        </w:numPr>
        <w:rPr>
          <w:sz w:val="24"/>
        </w:rPr>
      </w:pPr>
      <w:r w:rsidRPr="00334F1D">
        <w:rPr>
          <w:sz w:val="24"/>
        </w:rPr>
        <w:t xml:space="preserve">Yüklenici tüpleri okul idaresinin </w:t>
      </w:r>
      <w:r w:rsidR="0099148C">
        <w:rPr>
          <w:sz w:val="24"/>
        </w:rPr>
        <w:t>planlayacağı zaman aralığında hepsini birden getirip tümü teslim alındıktan sonra ödeme yapılacaktır</w:t>
      </w:r>
      <w:r w:rsidRPr="00334F1D">
        <w:rPr>
          <w:sz w:val="24"/>
        </w:rPr>
        <w:t xml:space="preserve"> </w:t>
      </w:r>
    </w:p>
    <w:p w:rsidR="00334F1D" w:rsidRPr="00334F1D" w:rsidRDefault="00334F1D" w:rsidP="000D4012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Tüpler okulda kullanıla</w:t>
      </w:r>
      <w:r w:rsidR="00D52825">
        <w:rPr>
          <w:sz w:val="24"/>
        </w:rPr>
        <w:t xml:space="preserve">cak başlıklara uygun olmalı uygun olmaması durumunda yüklenici firma tarafından uyumlu </w:t>
      </w:r>
      <w:proofErr w:type="spellStart"/>
      <w:r w:rsidR="00D52825">
        <w:rPr>
          <w:sz w:val="24"/>
        </w:rPr>
        <w:t>dedantörle</w:t>
      </w:r>
      <w:proofErr w:type="spellEnd"/>
      <w:r w:rsidR="00D52825">
        <w:rPr>
          <w:sz w:val="24"/>
        </w:rPr>
        <w:t xml:space="preserve"> ücretsiz olarak değiştirilmelidir.</w:t>
      </w:r>
    </w:p>
    <w:p w:rsidR="00334F1D" w:rsidRDefault="00334F1D" w:rsidP="000D4012">
      <w:pPr>
        <w:pStyle w:val="ListeParagraf"/>
        <w:numPr>
          <w:ilvl w:val="0"/>
          <w:numId w:val="1"/>
        </w:numPr>
        <w:rPr>
          <w:sz w:val="24"/>
        </w:rPr>
      </w:pPr>
      <w:r w:rsidRPr="00334F1D">
        <w:rPr>
          <w:sz w:val="24"/>
        </w:rPr>
        <w:t xml:space="preserve">Tüplerin güvenliği, standartlara uygun oluşu tamamen yüklenici firmanın sorumluluğundadır. </w:t>
      </w:r>
    </w:p>
    <w:p w:rsidR="00BA574B" w:rsidRDefault="00BA574B" w:rsidP="000D4012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Tüplerin idarece belirlenen alana taşınması yüklenici tarafından yapılacaktır.</w:t>
      </w:r>
    </w:p>
    <w:p w:rsidR="0030368F" w:rsidRPr="0030368F" w:rsidRDefault="0030368F" w:rsidP="000D4012">
      <w:pPr>
        <w:numPr>
          <w:ilvl w:val="0"/>
          <w:numId w:val="1"/>
        </w:numPr>
        <w:overflowPunct/>
        <w:autoSpaceDE/>
        <w:autoSpaceDN/>
        <w:adjustRightInd/>
        <w:spacing w:after="10" w:line="270" w:lineRule="auto"/>
        <w:jc w:val="both"/>
        <w:rPr>
          <w:sz w:val="24"/>
        </w:rPr>
      </w:pPr>
      <w:r w:rsidRPr="0030368F">
        <w:rPr>
          <w:b/>
        </w:rPr>
        <w:t xml:space="preserve">Teklifler idareye </w:t>
      </w:r>
      <w:r w:rsidR="008C6E86">
        <w:rPr>
          <w:b/>
        </w:rPr>
        <w:t>12</w:t>
      </w:r>
      <w:r w:rsidRPr="0030368F">
        <w:rPr>
          <w:b/>
        </w:rPr>
        <w:t>.0</w:t>
      </w:r>
      <w:r w:rsidR="008C6E86">
        <w:rPr>
          <w:b/>
        </w:rPr>
        <w:t>5</w:t>
      </w:r>
      <w:r w:rsidR="00000CAE">
        <w:rPr>
          <w:b/>
        </w:rPr>
        <w:t>.202</w:t>
      </w:r>
      <w:r w:rsidR="008C6E86">
        <w:rPr>
          <w:b/>
        </w:rPr>
        <w:t>5</w:t>
      </w:r>
      <w:r w:rsidRPr="0030368F">
        <w:rPr>
          <w:b/>
        </w:rPr>
        <w:t xml:space="preserve"> saat:</w:t>
      </w:r>
      <w:bookmarkStart w:id="0" w:name="_GoBack"/>
      <w:bookmarkEnd w:id="0"/>
      <w:proofErr w:type="gramStart"/>
      <w:r w:rsidR="008C6E86">
        <w:rPr>
          <w:b/>
        </w:rPr>
        <w:t>10</w:t>
      </w:r>
      <w:r w:rsidRPr="0030368F">
        <w:rPr>
          <w:b/>
        </w:rPr>
        <w:t>:00’a</w:t>
      </w:r>
      <w:proofErr w:type="gramEnd"/>
      <w:r w:rsidRPr="0030368F">
        <w:rPr>
          <w:b/>
        </w:rPr>
        <w:t xml:space="preserve"> kadar</w:t>
      </w:r>
      <w:r w:rsidR="00000CAE">
        <w:rPr>
          <w:b/>
        </w:rPr>
        <w:t xml:space="preserve"> </w:t>
      </w:r>
      <w:r w:rsidRPr="0030368F">
        <w:rPr>
          <w:b/>
        </w:rPr>
        <w:t xml:space="preserve">elden teslim edilecek; posta, e-mail ile gönderimler kabul edilmeyecektir. </w:t>
      </w:r>
    </w:p>
    <w:p w:rsidR="00D52825" w:rsidRDefault="00D52825" w:rsidP="00D52825">
      <w:pPr>
        <w:rPr>
          <w:sz w:val="24"/>
        </w:rPr>
      </w:pPr>
    </w:p>
    <w:p w:rsidR="00D52825" w:rsidRPr="005F24BB" w:rsidRDefault="00BA574B" w:rsidP="00D52825">
      <w:pPr>
        <w:spacing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Şehit Bilal Dicle Anadolu İmam Hatip Lisesi </w:t>
      </w:r>
      <w:r w:rsidR="00D52825">
        <w:rPr>
          <w:sz w:val="24"/>
          <w:szCs w:val="24"/>
        </w:rPr>
        <w:t xml:space="preserve">1 </w:t>
      </w:r>
      <w:r w:rsidR="00D52825" w:rsidRPr="005F24BB">
        <w:rPr>
          <w:sz w:val="24"/>
          <w:szCs w:val="24"/>
        </w:rPr>
        <w:t xml:space="preserve">Kalem </w:t>
      </w:r>
      <w:r w:rsidR="00D52825">
        <w:rPr>
          <w:sz w:val="24"/>
          <w:szCs w:val="24"/>
        </w:rPr>
        <w:t xml:space="preserve">(1) Kalem Sanayi Tipi 45 kg’lık Propan Tüp </w:t>
      </w:r>
      <w:r w:rsidR="00D52825" w:rsidRPr="005F24BB">
        <w:rPr>
          <w:sz w:val="24"/>
          <w:szCs w:val="24"/>
        </w:rPr>
        <w:t>İhtiyaç Listesi</w:t>
      </w:r>
    </w:p>
    <w:tbl>
      <w:tblPr>
        <w:tblW w:w="16173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437"/>
        <w:gridCol w:w="220"/>
        <w:gridCol w:w="6536"/>
        <w:gridCol w:w="1338"/>
        <w:gridCol w:w="922"/>
        <w:gridCol w:w="960"/>
        <w:gridCol w:w="960"/>
        <w:gridCol w:w="960"/>
        <w:gridCol w:w="960"/>
        <w:gridCol w:w="960"/>
        <w:gridCol w:w="960"/>
        <w:gridCol w:w="960"/>
      </w:tblGrid>
      <w:tr w:rsidR="00D52825" w:rsidRPr="005F24BB" w:rsidTr="00D97F51">
        <w:trPr>
          <w:trHeight w:val="330"/>
        </w:trPr>
        <w:tc>
          <w:tcPr>
            <w:tcW w:w="719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25" w:rsidRPr="005F24BB" w:rsidRDefault="00D52825" w:rsidP="00D97F5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4BB">
              <w:rPr>
                <w:sz w:val="24"/>
                <w:szCs w:val="24"/>
              </w:rPr>
              <w:t>MALZEMENİN CİNSİ</w:t>
            </w:r>
          </w:p>
        </w:tc>
        <w:tc>
          <w:tcPr>
            <w:tcW w:w="226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52825" w:rsidRPr="005F24BB" w:rsidRDefault="00D52825" w:rsidP="00D97F5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4BB">
              <w:rPr>
                <w:sz w:val="24"/>
                <w:szCs w:val="24"/>
              </w:rPr>
              <w:t>MİKTARI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825" w:rsidRPr="005F24BB" w:rsidRDefault="00D52825" w:rsidP="00D97F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825" w:rsidRPr="005F24BB" w:rsidRDefault="00D52825" w:rsidP="00D97F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825" w:rsidRPr="005F24BB" w:rsidRDefault="00D52825" w:rsidP="00D97F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825" w:rsidRPr="005F24BB" w:rsidRDefault="00D52825" w:rsidP="00D97F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825" w:rsidRPr="005F24BB" w:rsidRDefault="00D52825" w:rsidP="00D97F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825" w:rsidRPr="005F24BB" w:rsidRDefault="00D52825" w:rsidP="00D97F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825" w:rsidRPr="005F24BB" w:rsidRDefault="00D52825" w:rsidP="00D97F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52825" w:rsidRPr="005F24BB" w:rsidTr="00D97F51">
        <w:trPr>
          <w:trHeight w:val="255"/>
        </w:trPr>
        <w:tc>
          <w:tcPr>
            <w:tcW w:w="43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25" w:rsidRPr="005F24BB" w:rsidRDefault="00D52825" w:rsidP="00D97F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F24BB">
              <w:rPr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25" w:rsidRPr="005F24BB" w:rsidRDefault="00D52825" w:rsidP="00D97F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F24BB">
              <w:rPr>
                <w:sz w:val="24"/>
                <w:szCs w:val="24"/>
              </w:rPr>
              <w:t>-</w:t>
            </w:r>
          </w:p>
        </w:tc>
        <w:tc>
          <w:tcPr>
            <w:tcW w:w="6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25" w:rsidRPr="005F24BB" w:rsidRDefault="00D52825" w:rsidP="00D97F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 </w:t>
            </w:r>
            <w:proofErr w:type="spellStart"/>
            <w:r>
              <w:rPr>
                <w:sz w:val="24"/>
                <w:szCs w:val="24"/>
              </w:rPr>
              <w:t>Kg.’lık</w:t>
            </w:r>
            <w:proofErr w:type="spellEnd"/>
            <w:r>
              <w:rPr>
                <w:sz w:val="24"/>
                <w:szCs w:val="24"/>
              </w:rPr>
              <w:t xml:space="preserve"> Sanayi Tipi </w:t>
            </w:r>
            <w:proofErr w:type="spellStart"/>
            <w:r>
              <w:rPr>
                <w:sz w:val="24"/>
                <w:szCs w:val="24"/>
              </w:rPr>
              <w:t>Propan</w:t>
            </w:r>
            <w:proofErr w:type="spellEnd"/>
            <w:r>
              <w:rPr>
                <w:sz w:val="24"/>
                <w:szCs w:val="24"/>
              </w:rPr>
              <w:t xml:space="preserve"> Tüp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25" w:rsidRPr="005F24BB" w:rsidRDefault="00000CAE" w:rsidP="00D97F51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52825" w:rsidRPr="005F24BB" w:rsidRDefault="00D52825" w:rsidP="00D97F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825" w:rsidRPr="005F24BB" w:rsidRDefault="00D52825" w:rsidP="00D97F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825" w:rsidRPr="005F24BB" w:rsidRDefault="00D52825" w:rsidP="00D97F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825" w:rsidRPr="005F24BB" w:rsidRDefault="00D52825" w:rsidP="00D97F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825" w:rsidRPr="005F24BB" w:rsidRDefault="00D52825" w:rsidP="00D97F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825" w:rsidRPr="005F24BB" w:rsidRDefault="00D52825" w:rsidP="00D97F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825" w:rsidRPr="005F24BB" w:rsidRDefault="00D52825" w:rsidP="00D97F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825" w:rsidRPr="005F24BB" w:rsidRDefault="00D52825" w:rsidP="00D97F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334F1D" w:rsidRPr="00D52825" w:rsidRDefault="00D52825" w:rsidP="00D52825">
      <w:pPr>
        <w:rPr>
          <w:sz w:val="24"/>
        </w:rPr>
      </w:pPr>
      <w:r w:rsidRPr="00D52825">
        <w:rPr>
          <w:sz w:val="24"/>
        </w:rPr>
        <w:t>Yalnızca 1 (bir) kalemdir.</w:t>
      </w:r>
    </w:p>
    <w:p w:rsidR="00D52825" w:rsidRPr="00450FB2" w:rsidRDefault="00D52825" w:rsidP="00450FB2">
      <w:pPr>
        <w:rPr>
          <w:sz w:val="24"/>
        </w:rPr>
      </w:pPr>
    </w:p>
    <w:p w:rsidR="00D52825" w:rsidRPr="00D52825" w:rsidRDefault="00D52825" w:rsidP="000D4012">
      <w:pPr>
        <w:pStyle w:val="ListeParagraf"/>
        <w:rPr>
          <w:sz w:val="24"/>
        </w:rPr>
      </w:pPr>
    </w:p>
    <w:p w:rsidR="00D52825" w:rsidRPr="00794339" w:rsidRDefault="00D52825" w:rsidP="00794339">
      <w:pPr>
        <w:pStyle w:val="ListeParagraf"/>
        <w:rPr>
          <w:sz w:val="24"/>
        </w:rPr>
      </w:pPr>
      <w:r w:rsidRPr="00794339">
        <w:rPr>
          <w:sz w:val="24"/>
        </w:rPr>
        <w:t xml:space="preserve"> İDARE</w:t>
      </w:r>
      <w:r w:rsidR="00794339">
        <w:rPr>
          <w:sz w:val="24"/>
        </w:rPr>
        <w:tab/>
      </w:r>
      <w:r w:rsidR="00794339">
        <w:rPr>
          <w:sz w:val="24"/>
        </w:rPr>
        <w:tab/>
      </w:r>
      <w:r w:rsidR="00794339">
        <w:rPr>
          <w:sz w:val="24"/>
        </w:rPr>
        <w:tab/>
      </w:r>
      <w:r w:rsidR="00794339">
        <w:rPr>
          <w:sz w:val="24"/>
        </w:rPr>
        <w:tab/>
      </w:r>
      <w:r w:rsidR="00794339">
        <w:rPr>
          <w:sz w:val="24"/>
        </w:rPr>
        <w:tab/>
      </w:r>
      <w:r w:rsidR="00794339">
        <w:rPr>
          <w:sz w:val="24"/>
        </w:rPr>
        <w:tab/>
      </w:r>
      <w:r w:rsidR="00794339">
        <w:rPr>
          <w:sz w:val="24"/>
        </w:rPr>
        <w:tab/>
      </w:r>
      <w:r w:rsidR="00794339">
        <w:rPr>
          <w:sz w:val="24"/>
        </w:rPr>
        <w:tab/>
        <w:t xml:space="preserve">   YÜKLENİCİ</w:t>
      </w:r>
    </w:p>
    <w:p w:rsidR="00D52825" w:rsidRPr="00794339" w:rsidRDefault="00794339" w:rsidP="00794339">
      <w:pPr>
        <w:rPr>
          <w:sz w:val="24"/>
        </w:rPr>
      </w:pPr>
      <w:r>
        <w:rPr>
          <w:sz w:val="24"/>
        </w:rPr>
        <w:t xml:space="preserve">     </w:t>
      </w:r>
      <w:r w:rsidR="008C6E86">
        <w:rPr>
          <w:sz w:val="24"/>
        </w:rPr>
        <w:t>Burhan AKALP</w:t>
      </w:r>
    </w:p>
    <w:p w:rsidR="00794339" w:rsidRPr="00794339" w:rsidRDefault="00794339" w:rsidP="00794339">
      <w:pPr>
        <w:rPr>
          <w:sz w:val="24"/>
        </w:rPr>
      </w:pPr>
      <w:r>
        <w:rPr>
          <w:sz w:val="24"/>
        </w:rPr>
        <w:t xml:space="preserve">   </w:t>
      </w:r>
      <w:r w:rsidR="00000CAE">
        <w:rPr>
          <w:sz w:val="24"/>
        </w:rPr>
        <w:t xml:space="preserve">  </w:t>
      </w:r>
      <w:r w:rsidRPr="00794339">
        <w:rPr>
          <w:sz w:val="24"/>
        </w:rPr>
        <w:t>OKUL MÜDÜRÜ</w:t>
      </w:r>
    </w:p>
    <w:sectPr w:rsidR="00794339" w:rsidRPr="00794339" w:rsidSect="008E4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377D"/>
    <w:multiLevelType w:val="hybridMultilevel"/>
    <w:tmpl w:val="F83CA868"/>
    <w:lvl w:ilvl="0" w:tplc="49DE2228">
      <w:start w:val="1"/>
      <w:numFmt w:val="decimal"/>
      <w:lvlText w:val="%1-"/>
      <w:lvlJc w:val="left"/>
      <w:pPr>
        <w:ind w:left="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109E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026D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7AFA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86CB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CCC8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96FA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6AF1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FEBB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1228A7"/>
    <w:multiLevelType w:val="hybridMultilevel"/>
    <w:tmpl w:val="53CC4C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870C48"/>
    <w:rsid w:val="00000CAE"/>
    <w:rsid w:val="000D4012"/>
    <w:rsid w:val="0012558A"/>
    <w:rsid w:val="00175976"/>
    <w:rsid w:val="0018396B"/>
    <w:rsid w:val="001872FA"/>
    <w:rsid w:val="002A4A4B"/>
    <w:rsid w:val="0030368F"/>
    <w:rsid w:val="00334F1D"/>
    <w:rsid w:val="00405BD1"/>
    <w:rsid w:val="00450FB2"/>
    <w:rsid w:val="00616D19"/>
    <w:rsid w:val="00664ECF"/>
    <w:rsid w:val="00694069"/>
    <w:rsid w:val="007833BB"/>
    <w:rsid w:val="00794339"/>
    <w:rsid w:val="00870C48"/>
    <w:rsid w:val="008C6E86"/>
    <w:rsid w:val="008E48F9"/>
    <w:rsid w:val="0099148C"/>
    <w:rsid w:val="00A640D4"/>
    <w:rsid w:val="00BA574B"/>
    <w:rsid w:val="00D52825"/>
    <w:rsid w:val="00E4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BD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405BD1"/>
    <w:pPr>
      <w:jc w:val="both"/>
    </w:pPr>
    <w:rPr>
      <w:bCs/>
      <w:sz w:val="24"/>
    </w:rPr>
  </w:style>
  <w:style w:type="character" w:customStyle="1" w:styleId="GvdeMetniChar">
    <w:name w:val="Gövde Metni Char"/>
    <w:basedOn w:val="VarsaylanParagrafYazTipi"/>
    <w:link w:val="GvdeMetni"/>
    <w:semiHidden/>
    <w:rsid w:val="00405BD1"/>
    <w:rPr>
      <w:rFonts w:ascii="Times New Roman" w:eastAsia="Times New Roman" w:hAnsi="Times New Roman" w:cs="Times New Roman"/>
      <w:bCs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D4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REAL-TEK BİLGİSAYAR</cp:lastModifiedBy>
  <cp:revision>2</cp:revision>
  <dcterms:created xsi:type="dcterms:W3CDTF">2025-05-08T11:31:00Z</dcterms:created>
  <dcterms:modified xsi:type="dcterms:W3CDTF">2025-05-08T11:31:00Z</dcterms:modified>
</cp:coreProperties>
</file>